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CF605" w14:textId="77777777" w:rsidR="002E7166" w:rsidRDefault="002E7166" w:rsidP="002E7166">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A26F6C2" w14:textId="77777777" w:rsidR="002E7166" w:rsidRDefault="002E7166" w:rsidP="002E7166">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03D53B42" w14:textId="77777777" w:rsidR="002E7166" w:rsidRDefault="002E7166" w:rsidP="002E7166">
      <w:pPr>
        <w:widowControl w:val="0"/>
        <w:bidi/>
        <w:spacing w:after="0"/>
        <w:jc w:val="center"/>
        <w:rPr>
          <w:rFonts w:cs="B Mitra" w:hint="cs"/>
          <w:b/>
          <w:bCs/>
          <w:sz w:val="32"/>
          <w:szCs w:val="32"/>
          <w:rtl/>
          <w:lang w:bidi="fa-IR"/>
        </w:rPr>
      </w:pPr>
      <w:r>
        <w:rPr>
          <w:rFonts w:cs="B Mitra" w:hint="cs"/>
          <w:b/>
          <w:bCs/>
          <w:sz w:val="32"/>
          <w:szCs w:val="32"/>
          <w:rtl/>
          <w:lang w:bidi="fa-IR"/>
        </w:rPr>
        <w:t>جلسه 821</w:t>
      </w:r>
    </w:p>
    <w:p w14:paraId="264F1118" w14:textId="77777777" w:rsidR="002E7166" w:rsidRDefault="002E7166" w:rsidP="002E7166">
      <w:pPr>
        <w:widowControl w:val="0"/>
        <w:bidi/>
        <w:spacing w:after="0"/>
        <w:ind w:firstLine="284"/>
        <w:jc w:val="both"/>
        <w:rPr>
          <w:rFonts w:cs="Abz-2 (Badr)" w:hint="cs"/>
          <w:sz w:val="28"/>
          <w:szCs w:val="28"/>
          <w:rtl/>
          <w:lang w:bidi="fa-IR"/>
        </w:rPr>
      </w:pPr>
      <w:bookmarkStart w:id="0" w:name="_Hlk159096966"/>
    </w:p>
    <w:p w14:paraId="424F8F73" w14:textId="77777777" w:rsidR="002E7166" w:rsidRDefault="002E7166" w:rsidP="002E7166">
      <w:pPr>
        <w:pStyle w:val="NormalWeb"/>
        <w:widowControl w:val="0"/>
        <w:bidi/>
        <w:spacing w:before="0" w:beforeAutospacing="0" w:after="0" w:afterAutospacing="0" w:line="256"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کلمات شيخ طوسی و شهيد ثانی در خصوص عدم حق مادری که امه باشد برای حضانت و نيز استدلالات شهيد ثانی برای آن را جلسه قبل مطرح کرديم.</w:t>
      </w:r>
    </w:p>
    <w:bookmarkEnd w:id="0"/>
    <w:p w14:paraId="013EFE6E" w14:textId="77777777" w:rsidR="002E7166" w:rsidRDefault="002E7166" w:rsidP="002E7166">
      <w:pPr>
        <w:pStyle w:val="NormalWeb"/>
        <w:widowControl w:val="0"/>
        <w:bidi/>
        <w:spacing w:before="0" w:beforeAutospacing="0" w:after="0" w:afterAutospacing="0" w:line="256"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fa-IR"/>
        </w:rPr>
        <w:t>اما ادله مذکور هيچ کدام تمام نيستند، زيرا مشغوليت به حقوق مولا مستوجب اين نيست که مادر حقی برای حضانت نداشته باشد، بلکه حداکثر اين است که گفته شود: مادر حق حضانت دارد منوط بر اين که مولا به او در حضانت فرزند، اذن بدهد و واضح است که امکان رجوع مولا از اذنی که به امه برای حضانت فرزند خود داده است، مستلزم نفی حق مادر در حضانت نيست.</w:t>
      </w:r>
    </w:p>
    <w:p w14:paraId="68B378A8" w14:textId="77777777" w:rsidR="002E7166" w:rsidRDefault="002E7166" w:rsidP="002E7166">
      <w:pPr>
        <w:pStyle w:val="NormalWeb"/>
        <w:widowControl w:val="0"/>
        <w:bidi/>
        <w:spacing w:before="0" w:beforeAutospacing="0" w:after="0" w:afterAutospacing="0" w:line="256" w:lineRule="auto"/>
        <w:ind w:firstLine="284"/>
        <w:jc w:val="both"/>
        <w:rPr>
          <w:rFonts w:cs="Abz-2 (Badr)"/>
          <w:color w:val="000000" w:themeColor="text1"/>
          <w:sz w:val="28"/>
          <w:szCs w:val="28"/>
          <w:lang w:bidi="fa-IR"/>
        </w:rPr>
      </w:pPr>
      <w:r>
        <w:rPr>
          <w:rFonts w:cs="Abz-2 (Badr)" w:hint="cs"/>
          <w:color w:val="000000" w:themeColor="text1"/>
          <w:sz w:val="28"/>
          <w:szCs w:val="28"/>
          <w:rtl/>
          <w:lang w:bidi="fa-IR"/>
        </w:rPr>
        <w:t>همان گونه که بارها گذشت که حضانت، مستلزم ولايت حاضن بر محضون نيست تا اين که به واسطه رقّيّت امه، منکر امکان آن گرديم؛ فلذا مولا می</w:t>
      </w:r>
      <w:r>
        <w:rPr>
          <w:rFonts w:cs="Abz-2 (Badr)" w:hint="cs"/>
          <w:color w:val="000000" w:themeColor="text1"/>
          <w:sz w:val="28"/>
          <w:szCs w:val="28"/>
          <w:rtl/>
          <w:lang w:bidi="fa-IR"/>
        </w:rPr>
        <w:softHyphen/>
        <w:t>تواند حضانت فرزند حرّ خود را به امه خود بسپارد.</w:t>
      </w:r>
    </w:p>
    <w:p w14:paraId="4828B5CD" w14:textId="77777777" w:rsidR="002E7166" w:rsidRDefault="002E7166" w:rsidP="002E7166">
      <w:pPr>
        <w:pStyle w:val="NormalWeb"/>
        <w:widowControl w:val="0"/>
        <w:bidi/>
        <w:spacing w:before="0" w:beforeAutospacing="0" w:after="0" w:afterAutospacing="0" w:line="256"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بنابر اين بهتر است به مانند کاشف اللثام</w:t>
      </w:r>
      <w:r>
        <w:rPr>
          <w:rFonts w:cs="Abz-2 (Badr)"/>
          <w:color w:val="000000" w:themeColor="text1"/>
          <w:sz w:val="28"/>
          <w:szCs w:val="28"/>
          <w:vertAlign w:val="superscript"/>
          <w:rtl/>
          <w:lang w:bidi="ar"/>
        </w:rPr>
        <w:footnoteReference w:id="1"/>
      </w:r>
      <w:r>
        <w:rPr>
          <w:rFonts w:cs="Abz-2 (Badr)" w:hint="cs"/>
          <w:color w:val="000000" w:themeColor="text1"/>
          <w:sz w:val="28"/>
          <w:szCs w:val="28"/>
          <w:rtl/>
          <w:lang w:bidi="fa-IR"/>
        </w:rPr>
        <w:t xml:space="preserve"> و صاحب رياض</w:t>
      </w:r>
      <w:r>
        <w:rPr>
          <w:rFonts w:cs="Abz-2 (Badr)"/>
          <w:color w:val="000000" w:themeColor="text1"/>
          <w:sz w:val="28"/>
          <w:szCs w:val="28"/>
          <w:vertAlign w:val="superscript"/>
          <w:rtl/>
          <w:lang w:bidi="ar"/>
        </w:rPr>
        <w:footnoteReference w:id="2"/>
      </w:r>
      <w:r>
        <w:rPr>
          <w:rFonts w:cs="Abz-2 (Badr)" w:hint="cs"/>
          <w:color w:val="000000" w:themeColor="text1"/>
          <w:sz w:val="28"/>
          <w:szCs w:val="28"/>
          <w:rtl/>
          <w:lang w:bidi="fa-IR"/>
        </w:rPr>
        <w:t xml:space="preserve"> در استدلال برای اشتراط حرّيت مادر برای حق حضانت وی، به فحوای اخباری که در خصوص اعتبار حرّيّت پدر در حضانت او وارد شده است، تمسّک کنيم، به اين اعتبار که اگر پدر با وجود ولايت قهری که از جانب شارع بر فرزند دارد، در صورت رقّيّت حقی برای حضانت نداشته و حضانت فرزند او به مادر حرّه فرزند می</w:t>
      </w:r>
      <w:r>
        <w:rPr>
          <w:rFonts w:cs="Abz-2 (Badr)" w:hint="cs"/>
          <w:color w:val="000000" w:themeColor="text1"/>
          <w:sz w:val="28"/>
          <w:szCs w:val="28"/>
          <w:rtl/>
          <w:lang w:bidi="fa-IR"/>
        </w:rPr>
        <w:softHyphen/>
        <w:t>رسد ولو اين که مادر با مردی ديگر ازدواج کرده باشد، در صورت رقّيّت مادر و حرّ بود پدر، سقوط حق حضانت مادر اولی خواهد بود.</w:t>
      </w:r>
    </w:p>
    <w:p w14:paraId="5CD34693" w14:textId="77777777" w:rsidR="002E7166" w:rsidRDefault="002E7166" w:rsidP="002E7166">
      <w:pPr>
        <w:pStyle w:val="NormalWeb"/>
        <w:widowControl w:val="0"/>
        <w:bidi/>
        <w:spacing w:before="0" w:beforeAutospacing="0" w:after="0" w:afterAutospacing="0" w:line="256"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بلکه بعيد نيست گفته شود: مستفاد از صحيحه فضيل بن يسار و معتبره داود رقّی اين است که رقّيّت، مطلقاً مانع از </w:t>
      </w:r>
      <w:r>
        <w:rPr>
          <w:rFonts w:cs="Abz-2 (Badr)" w:hint="cs"/>
          <w:color w:val="000000" w:themeColor="text1"/>
          <w:sz w:val="28"/>
          <w:szCs w:val="28"/>
          <w:rtl/>
          <w:lang w:bidi="fa-IR"/>
        </w:rPr>
        <w:lastRenderedPageBreak/>
        <w:t>حقّ حضانت است و مانعيّت آن اختصاص به موردی که پدر رقّ باشد، ندارد.</w:t>
      </w:r>
    </w:p>
    <w:p w14:paraId="30474BB9" w14:textId="77777777" w:rsidR="002E7166" w:rsidRDefault="002E7166" w:rsidP="002E7166">
      <w:pPr>
        <w:pStyle w:val="NormalWeb"/>
        <w:widowControl w:val="0"/>
        <w:bidi/>
        <w:spacing w:before="0" w:beforeAutospacing="0" w:after="0" w:afterAutospacing="0" w:line="256" w:lineRule="auto"/>
        <w:ind w:firstLine="284"/>
        <w:jc w:val="both"/>
        <w:rPr>
          <w:rFonts w:cs="Abz-2 (Badr)" w:hint="cs"/>
          <w:color w:val="FF0000"/>
          <w:sz w:val="28"/>
          <w:szCs w:val="28"/>
          <w:rtl/>
          <w:lang w:bidi="fa-IR"/>
        </w:rPr>
      </w:pPr>
      <w:r>
        <w:rPr>
          <w:rFonts w:cs="Abz-2 (Badr)" w:hint="cs"/>
          <w:color w:val="FF0000"/>
          <w:sz w:val="28"/>
          <w:szCs w:val="28"/>
          <w:rtl/>
          <w:lang w:bidi="fa-IR"/>
        </w:rPr>
        <w:t>مورد سوم: غير مسلمان بودن مادر</w:t>
      </w:r>
    </w:p>
    <w:p w14:paraId="3A30B546" w14:textId="77777777" w:rsidR="002E7166" w:rsidRDefault="002E7166" w:rsidP="002E7166">
      <w:pPr>
        <w:pStyle w:val="NormalWeb"/>
        <w:widowControl w:val="0"/>
        <w:bidi/>
        <w:spacing w:before="0" w:beforeAutospacing="0" w:after="0" w:afterAutospacing="0" w:line="256"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گفته شده است که در صورت اسلام تبعی فرزند به تبع پدر خود، اگر مادر غير مسلمان باشد، حق حضانت نخواهد داشت و بلکه ادعای عدم خلاف</w:t>
      </w:r>
      <w:r>
        <w:rPr>
          <w:rFonts w:cs="Abz-2 (Badr)"/>
          <w:color w:val="000000" w:themeColor="text1"/>
          <w:sz w:val="28"/>
          <w:szCs w:val="28"/>
          <w:vertAlign w:val="superscript"/>
          <w:rtl/>
          <w:lang w:bidi="ar"/>
        </w:rPr>
        <w:footnoteReference w:id="3"/>
      </w:r>
      <w:r>
        <w:rPr>
          <w:rFonts w:cs="Abz-2 (Badr)" w:hint="cs"/>
          <w:color w:val="000000" w:themeColor="text1"/>
          <w:sz w:val="28"/>
          <w:szCs w:val="28"/>
          <w:rtl/>
          <w:lang w:bidi="fa-IR"/>
        </w:rPr>
        <w:t xml:space="preserve"> در آن شده است.</w:t>
      </w:r>
    </w:p>
    <w:p w14:paraId="79A719B0" w14:textId="77777777" w:rsidR="002E7166" w:rsidRDefault="002E7166" w:rsidP="002E7166">
      <w:pPr>
        <w:pStyle w:val="NormalWeb"/>
        <w:widowControl w:val="0"/>
        <w:bidi/>
        <w:spacing w:before="0" w:beforeAutospacing="0" w:after="0" w:afterAutospacing="0" w:line="256"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شيخ در مبسوط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إن كان أحدهما مسلماً فالمسلم أحقّ به عندنا وعند أكثرهم؛ وقال بعضهم: يخيّر.»</w:t>
      </w:r>
      <w:r>
        <w:rPr>
          <w:rFonts w:cs="Abz-2 (Badr)"/>
          <w:color w:val="000000" w:themeColor="text1"/>
          <w:sz w:val="28"/>
          <w:szCs w:val="28"/>
          <w:vertAlign w:val="superscript"/>
          <w:rtl/>
          <w:lang w:bidi="ar"/>
        </w:rPr>
        <w:footnoteReference w:id="4"/>
      </w:r>
    </w:p>
    <w:p w14:paraId="1A917E49" w14:textId="77777777" w:rsidR="002E7166" w:rsidRDefault="002E7166" w:rsidP="002E7166">
      <w:pPr>
        <w:pStyle w:val="NormalWeb"/>
        <w:widowControl w:val="0"/>
        <w:bidi/>
        <w:spacing w:before="0" w:beforeAutospacing="0" w:after="0" w:afterAutospacing="0" w:line="252"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شهيد ثانی فرموده است: </w:t>
      </w:r>
      <w:r>
        <w:rPr>
          <w:rFonts w:cs="Abz-2 (Badr)" w:hint="cs"/>
          <w:color w:val="0070C0"/>
          <w:sz w:val="28"/>
          <w:szCs w:val="28"/>
          <w:rtl/>
          <w:lang w:bidi="fa-IR"/>
        </w:rPr>
        <w:t>«</w:t>
      </w:r>
      <w:r>
        <w:rPr>
          <w:rFonts w:cs="Abz-2 (Badr)" w:hint="cs"/>
          <w:color w:val="0070C0"/>
          <w:sz w:val="28"/>
          <w:szCs w:val="28"/>
          <w:rtl/>
          <w:lang w:bidi="ar"/>
        </w:rPr>
        <w:t>الكافرة لا حضانة لها على الولد المسلم بإسلام أبيه، لأنّه لا حظّ له في تربية الكافرة، لأنّها تفتنه عن دينه وهو ينشأ على ما يألفه منها، ولأنّه لا ولاية للكافر على المسلم للآية.</w:t>
      </w:r>
    </w:p>
    <w:p w14:paraId="5AA6680C" w14:textId="77777777" w:rsidR="002E7166" w:rsidRDefault="002E7166" w:rsidP="002E7166">
      <w:pPr>
        <w:pStyle w:val="NormalWeb"/>
        <w:widowControl w:val="0"/>
        <w:bidi/>
        <w:spacing w:before="0" w:beforeAutospacing="0" w:after="0" w:afterAutospacing="0" w:line="252" w:lineRule="auto"/>
        <w:ind w:firstLine="284"/>
        <w:jc w:val="both"/>
        <w:rPr>
          <w:rFonts w:cs="Abz-2 (Badr)" w:hint="cs"/>
          <w:color w:val="000000" w:themeColor="text1"/>
          <w:sz w:val="28"/>
          <w:szCs w:val="28"/>
          <w:rtl/>
          <w:lang w:bidi="fa-IR"/>
        </w:rPr>
      </w:pPr>
      <w:r>
        <w:rPr>
          <w:rFonts w:cs="Abz-2 (Badr)" w:hint="cs"/>
          <w:color w:val="0070C0"/>
          <w:sz w:val="28"/>
          <w:szCs w:val="28"/>
          <w:rtl/>
          <w:lang w:bidi="ar"/>
        </w:rPr>
        <w:t>ولو كان الولد كافراً تبعا لأبويه، فحضانته لها على ما فصّل إن ترافعوا إلينا. نعم، لو وصف الولد الإسلام نزع من أهله ولم يمكّنوا من كفالته لئلا يفتنوه عن الإسلام الذي قد مال إليه، وإن لم نصحّح إسلامه.»</w:t>
      </w:r>
      <w:r>
        <w:rPr>
          <w:rFonts w:cs="Abz-2 (Badr)"/>
          <w:color w:val="000000" w:themeColor="text1"/>
          <w:sz w:val="28"/>
          <w:szCs w:val="28"/>
          <w:vertAlign w:val="superscript"/>
          <w:rtl/>
          <w:lang w:bidi="ar"/>
        </w:rPr>
        <w:footnoteReference w:id="5"/>
      </w:r>
    </w:p>
    <w:p w14:paraId="3CF270AC" w14:textId="77777777" w:rsidR="002E7166" w:rsidRDefault="002E7166" w:rsidP="002E7166">
      <w:pPr>
        <w:pStyle w:val="NormalWeb"/>
        <w:widowControl w:val="0"/>
        <w:bidi/>
        <w:spacing w:before="0" w:beforeAutospacing="0" w:after="0" w:afterAutospacing="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خصوص اين مسأله روايتی وارد نشده است و استدلالاتی که در کلمات اصحاب برای آن آمده است، بعضاً دارای اشکال است، زيرا همان گونه که بارها گذشت، حضانت ارتباطی به ولايت ندارد و در نتيجه نمی</w:t>
      </w:r>
      <w:r>
        <w:rPr>
          <w:rFonts w:cs="Abz-2 (Badr)" w:hint="cs"/>
          <w:color w:val="000000" w:themeColor="text1"/>
          <w:sz w:val="28"/>
          <w:szCs w:val="28"/>
          <w:rtl/>
          <w:lang w:bidi="fa-IR"/>
        </w:rPr>
        <w:softHyphen/>
        <w:t>توان از باب انکار ولايت کافر بر مسلم، ولايت مادر غير مسلمان بر فرزند را نفی نمود.</w:t>
      </w:r>
    </w:p>
    <w:p w14:paraId="3BD947EF" w14:textId="77777777" w:rsidR="002E7166" w:rsidRDefault="002E7166" w:rsidP="002E7166">
      <w:pPr>
        <w:pStyle w:val="NormalWeb"/>
        <w:widowControl w:val="0"/>
        <w:bidi/>
        <w:spacing w:before="0" w:beforeAutospacing="0" w:after="0" w:afterAutospacing="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می</w:t>
      </w:r>
      <w:r>
        <w:rPr>
          <w:rFonts w:cs="Abz-2 (Badr)" w:hint="cs"/>
          <w:color w:val="000000" w:themeColor="text1"/>
          <w:sz w:val="28"/>
          <w:szCs w:val="28"/>
          <w:rtl/>
          <w:lang w:bidi="fa-IR"/>
        </w:rPr>
        <w:softHyphen/>
        <w:t>توان از اين جهت که تقديم مادر بر پدر در حضانت مستلزم برتری يافتن غير مسلمان بر مسلمان است، اطلاق ادله حضانت مادر را تقييد زد. مضافاً بر اين که همان گونه که سابقاً گذشت، اعطاء حق حضانت به هر يک از پدر و مادر، امتنانی است و حق امتنانی نمی</w:t>
      </w:r>
      <w:r>
        <w:rPr>
          <w:rFonts w:cs="Abz-2 (Badr)" w:hint="cs"/>
          <w:color w:val="000000" w:themeColor="text1"/>
          <w:sz w:val="28"/>
          <w:szCs w:val="28"/>
          <w:rtl/>
          <w:lang w:bidi="fa-IR"/>
        </w:rPr>
        <w:softHyphen/>
        <w:t>تواند مستلزم تضييع حق غير و يا ايجاد ضرر به او شود و چون کفالت مادر غير مسلمان بر فرزندی که اسلام تبعی دارد، به جهت تأثيرپذيری فرزند از مادر، فرزند را در معرض کفر قرار می</w:t>
      </w:r>
      <w:r>
        <w:rPr>
          <w:rFonts w:cs="Abz-2 (Badr)" w:hint="cs"/>
          <w:color w:val="000000" w:themeColor="text1"/>
          <w:sz w:val="28"/>
          <w:szCs w:val="28"/>
          <w:rtl/>
          <w:lang w:bidi="fa-IR"/>
        </w:rPr>
        <w:softHyphen/>
        <w:t>دهد که امری ضرری است، پس نمی</w:t>
      </w:r>
      <w:r>
        <w:rPr>
          <w:rFonts w:cs="Abz-2 (Badr)" w:hint="cs"/>
          <w:color w:val="000000" w:themeColor="text1"/>
          <w:sz w:val="28"/>
          <w:szCs w:val="28"/>
          <w:rtl/>
          <w:lang w:bidi="fa-IR"/>
        </w:rPr>
        <w:softHyphen/>
        <w:t>توان اطلاق ادله حضانت مادر را شامل چنين موردی دانست.</w:t>
      </w:r>
    </w:p>
    <w:p w14:paraId="19A96050" w14:textId="77777777" w:rsidR="002E7166" w:rsidRDefault="002E7166" w:rsidP="002E7166">
      <w:pPr>
        <w:pStyle w:val="NormalWeb"/>
        <w:widowControl w:val="0"/>
        <w:bidi/>
        <w:spacing w:before="0" w:beforeAutospacing="0" w:after="0" w:afterAutospacing="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اما اگر پدر و مادر هر دو کافر باشند و در مقام تنازع خواهان اين باشند که بر اساس قواعد شرع اسلام در مورد </w:t>
      </w:r>
      <w:r>
        <w:rPr>
          <w:rFonts w:cs="Abz-2 (Badr)" w:hint="cs"/>
          <w:color w:val="000000" w:themeColor="text1"/>
          <w:sz w:val="28"/>
          <w:szCs w:val="28"/>
          <w:rtl/>
          <w:lang w:bidi="fa-IR"/>
        </w:rPr>
        <w:lastRenderedPageBreak/>
        <w:t>آنان حکم گردد، تا هفت سالگی فرزند در اختيار مادر و سپس در اختيار پدر قرار داده می</w:t>
      </w:r>
      <w:r>
        <w:rPr>
          <w:rFonts w:cs="Abz-2 (Badr)" w:hint="cs"/>
          <w:color w:val="000000" w:themeColor="text1"/>
          <w:sz w:val="28"/>
          <w:szCs w:val="28"/>
          <w:rtl/>
          <w:lang w:bidi="fa-IR"/>
        </w:rPr>
        <w:softHyphen/>
        <w:t>شود.</w:t>
      </w:r>
    </w:p>
    <w:p w14:paraId="11E0914A" w14:textId="77777777" w:rsidR="002E7166" w:rsidRDefault="002E7166" w:rsidP="002E7166">
      <w:pPr>
        <w:pStyle w:val="NormalWeb"/>
        <w:widowControl w:val="0"/>
        <w:bidi/>
        <w:spacing w:before="0" w:beforeAutospacing="0" w:after="0" w:afterAutospacing="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آنچه که شهيد ثانی در خصوص گرفتن فرزند از پدر و مادر در صورت قبول اسلام توسط او بعد از بلوغ فرموده است نيز مدعای صحيحی است، مگر اين که اين عمل مستلزم مفسده اهمی گردد.</w:t>
      </w:r>
    </w:p>
    <w:p w14:paraId="6F328E82" w14:textId="77777777" w:rsidR="002E7166" w:rsidRDefault="002E7166" w:rsidP="002E7166">
      <w:pPr>
        <w:pStyle w:val="NormalWeb"/>
        <w:widowControl w:val="0"/>
        <w:bidi/>
        <w:spacing w:before="0" w:beforeAutospacing="0" w:after="0" w:afterAutospacing="0" w:line="256" w:lineRule="auto"/>
        <w:ind w:firstLine="284"/>
        <w:jc w:val="both"/>
        <w:rPr>
          <w:rFonts w:cs="Abz-2 (Badr)" w:hint="cs"/>
          <w:color w:val="000000" w:themeColor="text1"/>
          <w:sz w:val="28"/>
          <w:szCs w:val="28"/>
          <w:rtl/>
          <w:lang w:bidi="fa-IR"/>
        </w:rPr>
      </w:pPr>
    </w:p>
    <w:p w14:paraId="358854CE" w14:textId="2276C044" w:rsidR="0027088A" w:rsidRPr="002E7166" w:rsidRDefault="0027088A" w:rsidP="002E7166"/>
    <w:sectPr w:rsidR="0027088A" w:rsidRPr="002E7166" w:rsidSect="005A14A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927AE" w14:textId="77777777" w:rsidR="00EB312B" w:rsidRDefault="00EB312B" w:rsidP="00F71127">
      <w:pPr>
        <w:spacing w:after="0" w:line="240" w:lineRule="auto"/>
      </w:pPr>
      <w:r>
        <w:separator/>
      </w:r>
    </w:p>
  </w:endnote>
  <w:endnote w:type="continuationSeparator" w:id="0">
    <w:p w14:paraId="43452992" w14:textId="77777777" w:rsidR="00EB312B" w:rsidRDefault="00EB312B"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900D" w14:textId="77777777" w:rsidR="00654038" w:rsidRDefault="00654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B76E" w14:textId="77777777" w:rsidR="00654038" w:rsidRDefault="00654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6CFD4" w14:textId="77777777" w:rsidR="00EB312B" w:rsidRDefault="00EB312B" w:rsidP="00EE25C0">
      <w:pPr>
        <w:bidi/>
        <w:spacing w:after="0" w:line="240" w:lineRule="auto"/>
      </w:pPr>
      <w:r>
        <w:separator/>
      </w:r>
    </w:p>
  </w:footnote>
  <w:footnote w:type="continuationSeparator" w:id="0">
    <w:p w14:paraId="2719E478" w14:textId="77777777" w:rsidR="00EB312B" w:rsidRDefault="00EB312B" w:rsidP="00F71127">
      <w:pPr>
        <w:bidi/>
        <w:spacing w:after="0" w:line="240" w:lineRule="auto"/>
      </w:pPr>
      <w:r>
        <w:continuationSeparator/>
      </w:r>
    </w:p>
  </w:footnote>
  <w:footnote w:id="1">
    <w:p w14:paraId="01920E23" w14:textId="77777777" w:rsidR="002E7166" w:rsidRDefault="002E7166" w:rsidP="002E7166">
      <w:pPr>
        <w:pStyle w:val="FootnoteText"/>
        <w:bidi/>
        <w:jc w:val="both"/>
        <w:rPr>
          <w:rFonts w:cs="Abz-2 (Badr)"/>
          <w:lang w:bidi="fa-IR"/>
        </w:rPr>
      </w:pPr>
      <w:r>
        <w:rPr>
          <w:rStyle w:val="FootnoteReference"/>
          <w:rFonts w:cs="Abz-2 (Badr)"/>
        </w:rPr>
        <w:footnoteRef/>
      </w:r>
      <w:r>
        <w:rPr>
          <w:rFonts w:cs="Abz-2 (Badr)"/>
        </w:rPr>
        <w:t xml:space="preserve"> </w:t>
      </w:r>
      <w:r>
        <w:rPr>
          <w:rFonts w:cs="Abz-2 (Badr)" w:hint="cs"/>
          <w:rtl/>
        </w:rPr>
        <w:t>ـ کشف اللثام،ج7،ص551.</w:t>
      </w:r>
    </w:p>
  </w:footnote>
  <w:footnote w:id="2">
    <w:p w14:paraId="5B350066" w14:textId="77777777" w:rsidR="002E7166" w:rsidRDefault="002E7166" w:rsidP="002E7166">
      <w:pPr>
        <w:pStyle w:val="FootnoteText"/>
        <w:bidi/>
        <w:jc w:val="both"/>
        <w:rPr>
          <w:rFonts w:cs="Abz-2 (Badr)"/>
          <w:lang w:bidi="fa-IR"/>
        </w:rPr>
      </w:pPr>
      <w:r>
        <w:rPr>
          <w:rStyle w:val="FootnoteReference"/>
          <w:rFonts w:cs="Abz-2 (Badr)"/>
        </w:rPr>
        <w:footnoteRef/>
      </w:r>
      <w:r>
        <w:rPr>
          <w:rFonts w:cs="Abz-2 (Badr)"/>
        </w:rPr>
        <w:t xml:space="preserve"> </w:t>
      </w:r>
      <w:r>
        <w:rPr>
          <w:rFonts w:cs="Abz-2 (Badr)" w:hint="cs"/>
          <w:rtl/>
        </w:rPr>
        <w:t>ـ رياض،ج12،ص155.</w:t>
      </w:r>
    </w:p>
  </w:footnote>
  <w:footnote w:id="3">
    <w:p w14:paraId="1B5D1EED" w14:textId="77777777" w:rsidR="002E7166" w:rsidRDefault="002E7166" w:rsidP="002E71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جواهر،ج31،ص286.</w:t>
      </w:r>
    </w:p>
  </w:footnote>
  <w:footnote w:id="4">
    <w:p w14:paraId="5E782F2E" w14:textId="77777777" w:rsidR="002E7166" w:rsidRDefault="002E7166" w:rsidP="002E71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مبسوط،ج6،ص40.</w:t>
      </w:r>
    </w:p>
  </w:footnote>
  <w:footnote w:id="5">
    <w:p w14:paraId="43B6E3AF" w14:textId="77777777" w:rsidR="002E7166" w:rsidRDefault="002E7166" w:rsidP="002E71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مسالك،ج8،ص422.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6D90" w14:textId="77777777" w:rsidR="00654038" w:rsidRDefault="006540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421F6A56"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سه </w:t>
                          </w:r>
                          <w:r w:rsidR="00615E80">
                            <w:rPr>
                              <w:rFonts w:cs="B Mehr" w:hint="cs"/>
                              <w:rtl/>
                              <w:lang w:bidi="fa-IR"/>
                            </w:rPr>
                            <w:t>شنبه</w:t>
                          </w:r>
                          <w:r>
                            <w:rPr>
                              <w:rFonts w:cs="B Mehr" w:hint="cs"/>
                              <w:rtl/>
                              <w:lang w:bidi="fa-IR"/>
                            </w:rPr>
                            <w:t xml:space="preserve"> </w:t>
                          </w:r>
                          <w:r>
                            <w:rPr>
                              <w:rFonts w:cs="B Mehr" w:hint="cs"/>
                              <w:rtl/>
                            </w:rPr>
                            <w:t xml:space="preserve">،   </w:t>
                          </w:r>
                          <w:r w:rsidR="002E7166">
                            <w:rPr>
                              <w:rFonts w:cs="B Mehr" w:hint="cs"/>
                              <w:rtl/>
                            </w:rPr>
                            <w:t>16</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421F6A56"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سه </w:t>
                    </w:r>
                    <w:r w:rsidR="00615E80">
                      <w:rPr>
                        <w:rFonts w:cs="B Mehr" w:hint="cs"/>
                        <w:rtl/>
                        <w:lang w:bidi="fa-IR"/>
                      </w:rPr>
                      <w:t>شنبه</w:t>
                    </w:r>
                    <w:r>
                      <w:rPr>
                        <w:rFonts w:cs="B Mehr" w:hint="cs"/>
                        <w:rtl/>
                        <w:lang w:bidi="fa-IR"/>
                      </w:rPr>
                      <w:t xml:space="preserve"> </w:t>
                    </w:r>
                    <w:r>
                      <w:rPr>
                        <w:rFonts w:cs="B Mehr" w:hint="cs"/>
                        <w:rtl/>
                      </w:rPr>
                      <w:t xml:space="preserve">،   </w:t>
                    </w:r>
                    <w:r w:rsidR="002E7166">
                      <w:rPr>
                        <w:rFonts w:cs="B Mehr" w:hint="cs"/>
                        <w:rtl/>
                      </w:rPr>
                      <w:t>16</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6F03" w14:textId="77777777" w:rsidR="00654038" w:rsidRDefault="006540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21717</TotalTime>
  <Pages>1</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560</cp:revision>
  <cp:lastPrinted>2025-04-14T09:12:00Z</cp:lastPrinted>
  <dcterms:created xsi:type="dcterms:W3CDTF">2022-10-16T08:36:00Z</dcterms:created>
  <dcterms:modified xsi:type="dcterms:W3CDTF">2025-05-06T07:33:00Z</dcterms:modified>
</cp:coreProperties>
</file>